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353-3"/>
    <w:p>
      <w:pPr>
        <w:pStyle w:val="Heading4"/>
      </w:pPr>
      <w:r>
        <w:t xml:space="preserve">The People,</w:t>
      </w:r>
      <w:r>
        <w:t xml:space="preserve"> </w:t>
      </w:r>
      <w:r>
        <w:rPr>
          <w:i/>
          <w:iCs/>
        </w:rPr>
        <w:t xml:space="preserve">ex rel.</w:t>
      </w:r>
      <w:r>
        <w:t xml:space="preserve"> </w:t>
      </w:r>
      <w:r>
        <w:t xml:space="preserve">Hagan</w:t>
      </w:r>
      <w:r>
        <w:t xml:space="preserve"> </w:t>
      </w:r>
      <w:r>
        <w:rPr>
          <w:i/>
          <w:iCs/>
        </w:rPr>
        <w:t xml:space="preserve">vs.</w:t>
      </w:r>
      <w:r>
        <w:t xml:space="preserve"> </w:t>
      </w:r>
      <w:r>
        <w:t xml:space="preserve">King.</w:t>
      </w:r>
    </w:p>
    <w:p>
      <w:pPr>
        <w:pStyle w:val="FirstParagraph"/>
      </w:pPr>
      <w:r>
        <w:t xml:space="preserve">The case of the</w:t>
      </w:r>
      <w:r>
        <w:t xml:space="preserve"> </w:t>
      </w:r>
      <w:r>
        <w:rPr>
          <w:i/>
          <w:iCs/>
        </w:rPr>
        <w:t xml:space="preserve">People, ex reí. Hughes</w:t>
      </w:r>
      <w:r>
        <w:t xml:space="preserve"> </w:t>
      </w:r>
      <w:r>
        <w:t xml:space="preserve">v.</w:t>
      </w:r>
      <w:r>
        <w:t xml:space="preserve"> </w:t>
      </w:r>
      <w:r>
        <w:rPr>
          <w:i/>
          <w:iCs/>
        </w:rPr>
        <w:t xml:space="preserve">Gillespie, {ante, p.</w:t>
      </w:r>
      <w:r>
        <w:t xml:space="preserve"> </w:t>
      </w:r>
      <w:r>
        <w:t xml:space="preserve">342,) confirmed,</w:t>
      </w:r>
    </w:p>
    <w:p>
      <w:pPr>
        <w:pStyle w:val="BodyText"/>
      </w:pPr>
      <w:r>
        <w:t xml:space="preserve">-——-, for the relator.</w:t>
      </w:r>
    </w:p>
    <w:p>
      <w:pPr>
        <w:pStyle w:val="BodyText"/>
      </w:pPr>
      <w:r>
        <w:rPr>
          <w:i/>
          <w:iCs/>
        </w:rPr>
        <w:t xml:space="preserve">Edward</w:t>
      </w:r>
      <w:r>
        <w:t xml:space="preserve"> </w:t>
      </w:r>
      <w:r>
        <w:t xml:space="preserve">Norton, for defendant.</w:t>
      </w:r>
    </w:p>
    <w:bookmarkEnd w:id="20"/>
    <w:p>
      <w:pPr>
        <w:pStyle w:val="BodyText"/>
      </w:pPr>
      <w:r>
        <w:rPr>
          <w:i/>
          <w:iCs/>
        </w:rPr>
        <w:t xml:space="preserve">By the</w:t>
      </w:r>
      <w:r>
        <w:t xml:space="preserve"> </w:t>
      </w:r>
      <w:r>
        <w:t xml:space="preserve">Court,</w:t>
      </w:r>
    </w:p>
    <w:p>
      <w:pPr>
        <w:pStyle w:val="BodyText"/>
      </w:pPr>
      <w:r>
        <w:t xml:space="preserve">Bennett, J.</w:t>
      </w:r>
    </w:p>
    <w:p>
      <w:pPr>
        <w:pStyle w:val="BodyText"/>
      </w:pPr>
      <w:r>
        <w:t xml:space="preserve">In this canse a</w:t>
      </w:r>
      <w:r>
        <w:t xml:space="preserve"> </w:t>
      </w:r>
      <w:r>
        <w:rPr>
          <w:i/>
          <w:iCs/>
        </w:rPr>
        <w:t xml:space="preserve">quo warranto</w:t>
      </w:r>
      <w:r>
        <w:t xml:space="preserve"> </w:t>
      </w:r>
      <w:r>
        <w:t xml:space="preserve">was sued out of the superior court, and judgment was rendered against the defendant. We decided in the case of</w:t>
      </w:r>
      <w:r>
        <w:t xml:space="preserve"> </w:t>
      </w:r>
      <w:r>
        <w:rPr>
          <w:i/>
          <w:iCs/>
        </w:rPr>
        <w:t xml:space="preserve">The People</w:t>
      </w:r>
      <w:r>
        <w:t xml:space="preserve"> </w:t>
      </w:r>
      <w:r>
        <w:t xml:space="preserve">v. Gillespie,</w:t>
      </w:r>
      <w:r>
        <w:t xml:space="preserve"> </w:t>
      </w:r>
      <w:r>
        <w:rPr>
          <w:i/>
          <w:iCs/>
        </w:rPr>
        <w:t xml:space="preserve">(a?ite,p.</w:t>
      </w:r>
      <w:r>
        <w:t xml:space="preserve"> </w:t>
      </w:r>
      <w:r>
        <w:t xml:space="preserve">342,) that the superior court had no jurisdiction over proceedings hy way of</w:t>
      </w:r>
      <w:r>
        <w:t xml:space="preserve"> </w:t>
      </w:r>
      <w:r>
        <w:rPr>
          <w:i/>
          <w:iCs/>
        </w:rPr>
        <w:t xml:space="preserve">quo warranto.</w:t>
      </w:r>
      <w:r>
        <w:t xml:space="preserve"> </w:t>
      </w:r>
      <w:r>
        <w:t xml:space="preserve">That decision controls this case, and the judgment must be reversed.</w:t>
      </w:r>
    </w:p>
    <w:p>
      <w:pPr>
        <w:pStyle w:val="BodyText"/>
      </w:pPr>
      <w:r>
        <w:t xml:space="preserve">Ordered accordingly.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2025-03-01T23:17:29Z</dcterms:created>
  <dcterms:modified xsi:type="dcterms:W3CDTF">2025-03-01T23:17:29Z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